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5CEBD" w14:textId="77777777" w:rsidR="004C125F" w:rsidRDefault="004C125F" w:rsidP="004C125F">
      <w:pPr>
        <w:spacing w:line="240" w:lineRule="auto"/>
        <w:jc w:val="both"/>
        <w:rPr>
          <w:rFonts w:ascii="Times New Roman" w:hAnsi="Times New Roman" w:cs="Times New Roman"/>
          <w:sz w:val="24"/>
          <w:szCs w:val="24"/>
        </w:rPr>
      </w:pPr>
    </w:p>
    <w:p w14:paraId="04B6C7A0" w14:textId="77777777" w:rsidR="004C125F" w:rsidRDefault="004C125F" w:rsidP="004C125F">
      <w:pPr>
        <w:spacing w:line="240" w:lineRule="auto"/>
        <w:jc w:val="both"/>
        <w:rPr>
          <w:rFonts w:ascii="Times New Roman" w:hAnsi="Times New Roman" w:cs="Times New Roman"/>
          <w:sz w:val="24"/>
          <w:szCs w:val="24"/>
        </w:rPr>
      </w:pPr>
    </w:p>
    <w:p w14:paraId="077DB304" w14:textId="77777777" w:rsidR="004C125F" w:rsidRDefault="004C125F" w:rsidP="004C125F">
      <w:pPr>
        <w:spacing w:line="240" w:lineRule="auto"/>
        <w:jc w:val="both"/>
        <w:rPr>
          <w:rFonts w:ascii="Times New Roman" w:hAnsi="Times New Roman" w:cs="Times New Roman"/>
          <w:sz w:val="24"/>
          <w:szCs w:val="24"/>
        </w:rPr>
      </w:pPr>
    </w:p>
    <w:p w14:paraId="252E173D" w14:textId="77777777" w:rsidR="004C125F" w:rsidRDefault="004C125F" w:rsidP="004C125F">
      <w:pPr>
        <w:spacing w:line="240" w:lineRule="auto"/>
        <w:jc w:val="both"/>
        <w:rPr>
          <w:rFonts w:ascii="Times New Roman" w:hAnsi="Times New Roman" w:cs="Times New Roman"/>
          <w:sz w:val="24"/>
          <w:szCs w:val="24"/>
        </w:rPr>
      </w:pPr>
    </w:p>
    <w:p w14:paraId="11CA61A6" w14:textId="77777777" w:rsidR="004C125F" w:rsidRDefault="004C125F" w:rsidP="004C125F">
      <w:pPr>
        <w:spacing w:line="240" w:lineRule="auto"/>
        <w:jc w:val="both"/>
        <w:rPr>
          <w:rFonts w:ascii="Times New Roman" w:hAnsi="Times New Roman" w:cs="Times New Roman"/>
          <w:sz w:val="24"/>
          <w:szCs w:val="24"/>
        </w:rPr>
      </w:pPr>
    </w:p>
    <w:p w14:paraId="2608E9ED" w14:textId="58413815" w:rsidR="004C125F" w:rsidRDefault="008F79E0" w:rsidP="004C125F">
      <w:pPr>
        <w:spacing w:line="240" w:lineRule="auto"/>
        <w:jc w:val="center"/>
        <w:rPr>
          <w:rFonts w:ascii="Times New Roman" w:hAnsi="Times New Roman" w:cs="Times New Roman"/>
          <w:sz w:val="24"/>
          <w:szCs w:val="24"/>
        </w:rPr>
      </w:pPr>
      <w:r w:rsidRPr="002D7C28">
        <w:rPr>
          <w:rFonts w:ascii="Times New Roman" w:hAnsi="Times New Roman" w:cs="Times New Roman"/>
          <w:sz w:val="24"/>
          <w:szCs w:val="24"/>
        </w:rPr>
        <w:t xml:space="preserve">Critical </w:t>
      </w:r>
      <w:r w:rsidR="004C125F" w:rsidRPr="002D7C28">
        <w:rPr>
          <w:rFonts w:ascii="Times New Roman" w:hAnsi="Times New Roman" w:cs="Times New Roman"/>
          <w:sz w:val="24"/>
          <w:szCs w:val="24"/>
        </w:rPr>
        <w:t>Analysis</w:t>
      </w:r>
      <w:r w:rsidR="004C125F">
        <w:rPr>
          <w:rFonts w:ascii="Times New Roman" w:hAnsi="Times New Roman" w:cs="Times New Roman"/>
          <w:sz w:val="24"/>
          <w:szCs w:val="24"/>
        </w:rPr>
        <w:t xml:space="preserve"> Two</w:t>
      </w:r>
      <w:r w:rsidR="007F0A8A">
        <w:rPr>
          <w:rFonts w:ascii="Times New Roman" w:hAnsi="Times New Roman" w:cs="Times New Roman"/>
          <w:sz w:val="24"/>
          <w:szCs w:val="24"/>
        </w:rPr>
        <w:t xml:space="preserve"> (</w:t>
      </w:r>
      <w:r w:rsidR="007F0A8A" w:rsidRPr="007F0A8A">
        <w:rPr>
          <w:rFonts w:ascii="Times New Roman" w:hAnsi="Times New Roman" w:cs="Times New Roman"/>
          <w:b/>
          <w:sz w:val="24"/>
          <w:szCs w:val="24"/>
        </w:rPr>
        <w:t>Draft</w:t>
      </w:r>
      <w:r w:rsidR="007F0A8A">
        <w:rPr>
          <w:rFonts w:ascii="Times New Roman" w:hAnsi="Times New Roman" w:cs="Times New Roman"/>
          <w:sz w:val="24"/>
          <w:szCs w:val="24"/>
        </w:rPr>
        <w:t>)</w:t>
      </w:r>
    </w:p>
    <w:p w14:paraId="34DBDA85" w14:textId="77777777" w:rsidR="004C125F" w:rsidRDefault="008F79E0" w:rsidP="004C125F">
      <w:pPr>
        <w:spacing w:line="240" w:lineRule="auto"/>
        <w:jc w:val="center"/>
        <w:rPr>
          <w:rFonts w:ascii="Times New Roman" w:hAnsi="Times New Roman" w:cs="Times New Roman"/>
          <w:sz w:val="24"/>
          <w:szCs w:val="24"/>
        </w:rPr>
      </w:pPr>
      <w:r w:rsidRPr="008F79E0">
        <w:rPr>
          <w:rFonts w:ascii="Times New Roman" w:eastAsia="Calibri" w:hAnsi="Times New Roman" w:cs="Times New Roman"/>
          <w:sz w:val="24"/>
          <w:szCs w:val="24"/>
        </w:rPr>
        <w:t>Student’s Name</w:t>
      </w:r>
    </w:p>
    <w:p w14:paraId="36142F5C" w14:textId="77777777" w:rsidR="004C125F" w:rsidRDefault="008F79E0" w:rsidP="004C125F">
      <w:pPr>
        <w:spacing w:line="240" w:lineRule="auto"/>
        <w:jc w:val="center"/>
        <w:rPr>
          <w:rFonts w:ascii="Times New Roman" w:hAnsi="Times New Roman" w:cs="Times New Roman"/>
          <w:sz w:val="24"/>
          <w:szCs w:val="24"/>
        </w:rPr>
      </w:pPr>
      <w:r w:rsidRPr="008F79E0">
        <w:rPr>
          <w:rFonts w:ascii="Times New Roman" w:eastAsia="Calibri" w:hAnsi="Times New Roman" w:cs="Times New Roman"/>
          <w:sz w:val="24"/>
          <w:szCs w:val="24"/>
        </w:rPr>
        <w:t>Institutional Affiliations</w:t>
      </w:r>
      <w:bookmarkStart w:id="0" w:name="_GoBack"/>
      <w:bookmarkEnd w:id="0"/>
    </w:p>
    <w:p w14:paraId="58FFF5C6" w14:textId="77777777" w:rsidR="004C125F" w:rsidRDefault="004C125F" w:rsidP="004C125F">
      <w:pPr>
        <w:spacing w:line="24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0418703" w14:textId="548DA501" w:rsidR="00B10457" w:rsidRPr="004C125F" w:rsidRDefault="002D7C28" w:rsidP="004C125F">
      <w:pPr>
        <w:spacing w:line="240" w:lineRule="auto"/>
        <w:jc w:val="center"/>
        <w:rPr>
          <w:rFonts w:ascii="Times New Roman" w:hAnsi="Times New Roman" w:cs="Times New Roman"/>
          <w:sz w:val="24"/>
          <w:szCs w:val="24"/>
        </w:rPr>
      </w:pPr>
      <w:r w:rsidRPr="002D7C28">
        <w:rPr>
          <w:rFonts w:ascii="Times New Roman" w:hAnsi="Times New Roman" w:cs="Times New Roman"/>
          <w:sz w:val="24"/>
          <w:szCs w:val="24"/>
        </w:rPr>
        <w:lastRenderedPageBreak/>
        <w:t xml:space="preserve">Critical </w:t>
      </w:r>
      <w:r w:rsidR="004C125F" w:rsidRPr="002D7C28">
        <w:rPr>
          <w:rFonts w:ascii="Times New Roman" w:hAnsi="Times New Roman" w:cs="Times New Roman"/>
          <w:sz w:val="24"/>
          <w:szCs w:val="24"/>
        </w:rPr>
        <w:t>Analysis</w:t>
      </w:r>
      <w:r w:rsidR="004C125F">
        <w:rPr>
          <w:rFonts w:ascii="Times New Roman" w:hAnsi="Times New Roman" w:cs="Times New Roman"/>
          <w:sz w:val="24"/>
          <w:szCs w:val="24"/>
        </w:rPr>
        <w:t xml:space="preserve"> Two</w:t>
      </w:r>
    </w:p>
    <w:p w14:paraId="4CE57633" w14:textId="77777777" w:rsidR="002D7C28" w:rsidRPr="004C125F" w:rsidRDefault="002D7C28" w:rsidP="004C125F">
      <w:pPr>
        <w:spacing w:line="240" w:lineRule="auto"/>
        <w:jc w:val="center"/>
        <w:rPr>
          <w:rFonts w:ascii="Times New Roman" w:hAnsi="Times New Roman" w:cs="Times New Roman"/>
          <w:b/>
          <w:sz w:val="24"/>
          <w:szCs w:val="24"/>
        </w:rPr>
      </w:pPr>
      <w:r w:rsidRPr="004C125F">
        <w:rPr>
          <w:rFonts w:ascii="Times New Roman" w:hAnsi="Times New Roman" w:cs="Times New Roman"/>
          <w:b/>
          <w:sz w:val="24"/>
          <w:szCs w:val="24"/>
        </w:rPr>
        <w:t>Introduction</w:t>
      </w:r>
    </w:p>
    <w:p w14:paraId="19F462E3" w14:textId="77777777" w:rsidR="002D7C28" w:rsidRDefault="002D7C28" w:rsidP="004C125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Global strategy involves expansion in terms of competition in the global markets. </w:t>
      </w:r>
      <w:r w:rsidR="00F2616A">
        <w:rPr>
          <w:rFonts w:ascii="Times New Roman" w:hAnsi="Times New Roman" w:cs="Times New Roman"/>
          <w:sz w:val="24"/>
          <w:szCs w:val="24"/>
        </w:rPr>
        <w:t xml:space="preserve">It covers areas such as global, multinational and international strategies. </w:t>
      </w:r>
      <w:r>
        <w:rPr>
          <w:rFonts w:ascii="Times New Roman" w:hAnsi="Times New Roman" w:cs="Times New Roman"/>
          <w:sz w:val="24"/>
          <w:szCs w:val="24"/>
        </w:rPr>
        <w:t xml:space="preserve"> </w:t>
      </w:r>
      <w:r w:rsidR="00F2616A">
        <w:rPr>
          <w:rFonts w:ascii="Times New Roman" w:hAnsi="Times New Roman" w:cs="Times New Roman"/>
          <w:sz w:val="24"/>
          <w:szCs w:val="24"/>
        </w:rPr>
        <w:t xml:space="preserve">Global strategy, on the global value proposition and on global management form the theme in this paper. Exploration of the objectives of authors such as Ghemawat on various aspects will be considered. The central point of analysis involves Boeing selling to Turkish Airlines with the international location being Turkey while the company in US Boeing. Boeing is the largest aerospace company which is a leading manufacturer of jetliners, defense space and security systems. They are also service providers of aftermarket support. </w:t>
      </w:r>
      <w:r w:rsidR="008F79E0">
        <w:rPr>
          <w:rFonts w:ascii="Times New Roman" w:hAnsi="Times New Roman" w:cs="Times New Roman"/>
          <w:sz w:val="24"/>
          <w:szCs w:val="24"/>
        </w:rPr>
        <w:t xml:space="preserve">Turkish Airlines is the national flag carrier airline for Turkey since 2017 that operates to over 300 destinations in Europe (Rugman &amp; Verbeke, </w:t>
      </w:r>
      <w:r w:rsidR="008F79E0" w:rsidRPr="008F79E0">
        <w:rPr>
          <w:rFonts w:ascii="Times New Roman" w:hAnsi="Times New Roman" w:cs="Times New Roman"/>
          <w:sz w:val="24"/>
          <w:szCs w:val="24"/>
        </w:rPr>
        <w:t>2017</w:t>
      </w:r>
      <w:r w:rsidR="008F79E0">
        <w:rPr>
          <w:rFonts w:ascii="Times New Roman" w:hAnsi="Times New Roman" w:cs="Times New Roman"/>
          <w:sz w:val="24"/>
          <w:szCs w:val="24"/>
        </w:rPr>
        <w:t xml:space="preserve">).  </w:t>
      </w:r>
    </w:p>
    <w:p w14:paraId="4F826891" w14:textId="77777777" w:rsidR="00BD1F1F" w:rsidRPr="004C125F" w:rsidRDefault="00D852E3" w:rsidP="004C125F">
      <w:pPr>
        <w:spacing w:line="240" w:lineRule="auto"/>
        <w:jc w:val="center"/>
        <w:rPr>
          <w:rFonts w:ascii="Times New Roman" w:hAnsi="Times New Roman" w:cs="Times New Roman"/>
          <w:b/>
          <w:sz w:val="24"/>
          <w:szCs w:val="24"/>
        </w:rPr>
      </w:pPr>
      <w:r w:rsidRPr="004C125F">
        <w:rPr>
          <w:rFonts w:ascii="Times New Roman" w:hAnsi="Times New Roman" w:cs="Times New Roman"/>
          <w:b/>
          <w:sz w:val="24"/>
          <w:szCs w:val="24"/>
        </w:rPr>
        <w:t xml:space="preserve">Segment </w:t>
      </w:r>
      <w:r w:rsidR="004C125F" w:rsidRPr="004C125F">
        <w:rPr>
          <w:rFonts w:ascii="Times New Roman" w:hAnsi="Times New Roman" w:cs="Times New Roman"/>
          <w:b/>
          <w:sz w:val="24"/>
          <w:szCs w:val="24"/>
        </w:rPr>
        <w:t xml:space="preserve">1: </w:t>
      </w:r>
      <w:r w:rsidR="003F6893" w:rsidRPr="004C125F">
        <w:rPr>
          <w:rFonts w:ascii="Times New Roman" w:hAnsi="Times New Roman" w:cs="Times New Roman"/>
          <w:b/>
          <w:sz w:val="24"/>
          <w:szCs w:val="24"/>
        </w:rPr>
        <w:t xml:space="preserve">Redefining </w:t>
      </w:r>
      <w:r w:rsidR="004C125F" w:rsidRPr="004C125F">
        <w:rPr>
          <w:rFonts w:ascii="Times New Roman" w:hAnsi="Times New Roman" w:cs="Times New Roman"/>
          <w:b/>
          <w:sz w:val="24"/>
          <w:szCs w:val="24"/>
        </w:rPr>
        <w:t>Global Strategy</w:t>
      </w:r>
    </w:p>
    <w:p w14:paraId="58F2752A" w14:textId="77777777" w:rsidR="003F6893" w:rsidRDefault="003F6893" w:rsidP="004C125F">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E31177">
        <w:rPr>
          <w:rFonts w:ascii="Times New Roman" w:hAnsi="Times New Roman" w:cs="Times New Roman"/>
          <w:sz w:val="24"/>
          <w:szCs w:val="24"/>
        </w:rPr>
        <w:t xml:space="preserve">Ghemawat AAA framework gives three approaches to global value creation i.e. adaptation, aggregation and arbitrage strategies. Adaptation strategies are aimed at increasing the revenue and market share through adjustment of one or more components of a company’s business model to suit the local requirements. For this instance, Boeing can make the necessary adjustments to ensure it suits the particular preferences that are suitable for the needs of Turkish Airline. The adjustments might be based on whether for instance the provided aircrafts will be used for military or passenger services.  </w:t>
      </w:r>
      <w:r w:rsidR="00966E88">
        <w:rPr>
          <w:rFonts w:ascii="Times New Roman" w:hAnsi="Times New Roman" w:cs="Times New Roman"/>
          <w:sz w:val="24"/>
          <w:szCs w:val="24"/>
        </w:rPr>
        <w:t xml:space="preserve">Aggregation strategies are aimed at achievement of the economies of scale through creation of regional or global efficiencies </w:t>
      </w:r>
      <w:r w:rsidR="003C1B71">
        <w:rPr>
          <w:rFonts w:ascii="Times New Roman" w:hAnsi="Times New Roman" w:cs="Times New Roman"/>
          <w:sz w:val="24"/>
          <w:szCs w:val="24"/>
        </w:rPr>
        <w:t xml:space="preserve">through standardization on some portion of value proposition and grouping together of development and production processes. </w:t>
      </w:r>
      <w:r w:rsidR="005C09E7">
        <w:rPr>
          <w:rFonts w:ascii="Times New Roman" w:hAnsi="Times New Roman" w:cs="Times New Roman"/>
          <w:sz w:val="24"/>
          <w:szCs w:val="24"/>
        </w:rPr>
        <w:t xml:space="preserve">On the other hand, arbitrage is just about exploitation of economic or other differences between national or regional markets that locate different and separate parts of supply chain in varied places. Adaption is the most widely used strategy since some degree of adaption </w:t>
      </w:r>
      <w:r w:rsidR="00D852E3">
        <w:rPr>
          <w:rFonts w:ascii="Times New Roman" w:hAnsi="Times New Roman" w:cs="Times New Roman"/>
          <w:sz w:val="24"/>
          <w:szCs w:val="24"/>
        </w:rPr>
        <w:t>cannot</w:t>
      </w:r>
      <w:r w:rsidR="005C09E7">
        <w:rPr>
          <w:rFonts w:ascii="Times New Roman" w:hAnsi="Times New Roman" w:cs="Times New Roman"/>
          <w:sz w:val="24"/>
          <w:szCs w:val="24"/>
        </w:rPr>
        <w:t xml:space="preserve"> be avoided in almost all types of products in the world. That explains why Boeing has different designs for security devices for different locations</w:t>
      </w:r>
      <w:r w:rsidR="00295057">
        <w:rPr>
          <w:rFonts w:ascii="Times New Roman" w:hAnsi="Times New Roman" w:cs="Times New Roman"/>
          <w:sz w:val="24"/>
          <w:szCs w:val="24"/>
        </w:rPr>
        <w:t xml:space="preserve"> (Motohashi, </w:t>
      </w:r>
      <w:r w:rsidR="00295057" w:rsidRPr="00295057">
        <w:rPr>
          <w:rFonts w:ascii="Times New Roman" w:hAnsi="Times New Roman" w:cs="Times New Roman"/>
          <w:sz w:val="24"/>
          <w:szCs w:val="24"/>
        </w:rPr>
        <w:t>2015</w:t>
      </w:r>
      <w:r w:rsidR="00295057">
        <w:rPr>
          <w:rFonts w:ascii="Times New Roman" w:hAnsi="Times New Roman" w:cs="Times New Roman"/>
          <w:sz w:val="24"/>
          <w:szCs w:val="24"/>
        </w:rPr>
        <w:t>)</w:t>
      </w:r>
      <w:r w:rsidR="005C09E7">
        <w:rPr>
          <w:rFonts w:ascii="Times New Roman" w:hAnsi="Times New Roman" w:cs="Times New Roman"/>
          <w:sz w:val="24"/>
          <w:szCs w:val="24"/>
        </w:rPr>
        <w:t xml:space="preserve">. </w:t>
      </w:r>
    </w:p>
    <w:p w14:paraId="6885BB13" w14:textId="77777777" w:rsidR="00ED4417" w:rsidRDefault="00ED4417" w:rsidP="004C125F">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Dr. Pankaj Ghemawat </w:t>
      </w:r>
      <w:r w:rsidR="002B1809">
        <w:rPr>
          <w:rFonts w:ascii="Times New Roman" w:hAnsi="Times New Roman" w:cs="Times New Roman"/>
          <w:sz w:val="24"/>
          <w:szCs w:val="24"/>
        </w:rPr>
        <w:t>teaches us a lot through his contribution to globalization</w:t>
      </w:r>
      <w:r w:rsidR="00F91F3C">
        <w:rPr>
          <w:rFonts w:ascii="Times New Roman" w:hAnsi="Times New Roman" w:cs="Times New Roman"/>
          <w:sz w:val="24"/>
          <w:szCs w:val="24"/>
        </w:rPr>
        <w:t>. Variation strategies therefore must be looked upon as being more than just the changes in the product and services but also an adjustments to the policies, business positioning and success expectations.</w:t>
      </w:r>
      <w:r w:rsidR="00247C26">
        <w:rPr>
          <w:rFonts w:ascii="Times New Roman" w:hAnsi="Times New Roman" w:cs="Times New Roman"/>
          <w:sz w:val="24"/>
          <w:szCs w:val="24"/>
        </w:rPr>
        <w:t xml:space="preserve"> </w:t>
      </w:r>
      <w:r w:rsidR="00E064F2">
        <w:rPr>
          <w:rFonts w:ascii="Times New Roman" w:hAnsi="Times New Roman" w:cs="Times New Roman"/>
          <w:sz w:val="24"/>
          <w:szCs w:val="24"/>
        </w:rPr>
        <w:t xml:space="preserve">There is need to focus on certain </w:t>
      </w:r>
      <w:r w:rsidR="00952859">
        <w:rPr>
          <w:rFonts w:ascii="Times New Roman" w:hAnsi="Times New Roman" w:cs="Times New Roman"/>
          <w:sz w:val="24"/>
          <w:szCs w:val="24"/>
        </w:rPr>
        <w:t>products,</w:t>
      </w:r>
      <w:r w:rsidR="00E064F2">
        <w:rPr>
          <w:rFonts w:ascii="Times New Roman" w:hAnsi="Times New Roman" w:cs="Times New Roman"/>
          <w:sz w:val="24"/>
          <w:szCs w:val="24"/>
        </w:rPr>
        <w:t xml:space="preserve"> their locations and or market segments as a way of reducing the impact that come with the differences across different regions. </w:t>
      </w:r>
      <w:r w:rsidR="002311C2">
        <w:rPr>
          <w:rFonts w:ascii="Times New Roman" w:hAnsi="Times New Roman" w:cs="Times New Roman"/>
          <w:sz w:val="24"/>
          <w:szCs w:val="24"/>
        </w:rPr>
        <w:t xml:space="preserve">Therefore a product focus takes the advantage of the fact that </w:t>
      </w:r>
      <w:r w:rsidR="008B3B1B">
        <w:rPr>
          <w:rFonts w:ascii="Times New Roman" w:hAnsi="Times New Roman" w:cs="Times New Roman"/>
          <w:sz w:val="24"/>
          <w:szCs w:val="24"/>
        </w:rPr>
        <w:t>there</w:t>
      </w:r>
      <w:r w:rsidR="002311C2">
        <w:rPr>
          <w:rFonts w:ascii="Times New Roman" w:hAnsi="Times New Roman" w:cs="Times New Roman"/>
          <w:sz w:val="24"/>
          <w:szCs w:val="24"/>
        </w:rPr>
        <w:t xml:space="preserve"> can exist wide differences within broad product categories for effective completion in the global market. </w:t>
      </w:r>
      <w:r w:rsidR="00F91F3C">
        <w:rPr>
          <w:rFonts w:ascii="Times New Roman" w:hAnsi="Times New Roman" w:cs="Times New Roman"/>
          <w:sz w:val="24"/>
          <w:szCs w:val="24"/>
        </w:rPr>
        <w:t xml:space="preserve"> </w:t>
      </w:r>
      <w:r w:rsidR="002B1809">
        <w:rPr>
          <w:rFonts w:ascii="Times New Roman" w:hAnsi="Times New Roman" w:cs="Times New Roman"/>
          <w:sz w:val="24"/>
          <w:szCs w:val="24"/>
        </w:rPr>
        <w:t xml:space="preserve"> </w:t>
      </w:r>
      <w:r w:rsidR="008B3B1B">
        <w:rPr>
          <w:rFonts w:ascii="Times New Roman" w:hAnsi="Times New Roman" w:cs="Times New Roman"/>
          <w:sz w:val="24"/>
          <w:szCs w:val="24"/>
        </w:rPr>
        <w:t xml:space="preserve">Therefore Ghemawat is teaching us </w:t>
      </w:r>
      <w:r w:rsidR="00043E55">
        <w:rPr>
          <w:rFonts w:ascii="Times New Roman" w:hAnsi="Times New Roman" w:cs="Times New Roman"/>
          <w:sz w:val="24"/>
          <w:szCs w:val="24"/>
        </w:rPr>
        <w:t xml:space="preserve">that focus overcomes the regional differences through a narrowing in the scope. </w:t>
      </w:r>
      <w:r w:rsidR="00A33832">
        <w:rPr>
          <w:rFonts w:ascii="Times New Roman" w:hAnsi="Times New Roman" w:cs="Times New Roman"/>
          <w:sz w:val="24"/>
          <w:szCs w:val="24"/>
        </w:rPr>
        <w:t>He further teachers us on the need for proper design that would ensure low costs which can be achieved through design flexibility that overcome supply differences. Furthermore, he provides a better understanding that this can be made possible through introducing standard production platforms and m</w:t>
      </w:r>
      <w:r w:rsidR="00027DA4">
        <w:rPr>
          <w:rFonts w:ascii="Times New Roman" w:hAnsi="Times New Roman" w:cs="Times New Roman"/>
          <w:sz w:val="24"/>
          <w:szCs w:val="24"/>
        </w:rPr>
        <w:t xml:space="preserve">odularization in the components (Ghemawat, </w:t>
      </w:r>
      <w:r w:rsidR="00027DA4" w:rsidRPr="00027DA4">
        <w:rPr>
          <w:rFonts w:ascii="Times New Roman" w:hAnsi="Times New Roman" w:cs="Times New Roman"/>
          <w:sz w:val="24"/>
          <w:szCs w:val="24"/>
        </w:rPr>
        <w:t>2011</w:t>
      </w:r>
      <w:r w:rsidR="00027DA4">
        <w:rPr>
          <w:rFonts w:ascii="Times New Roman" w:hAnsi="Times New Roman" w:cs="Times New Roman"/>
          <w:sz w:val="24"/>
          <w:szCs w:val="24"/>
        </w:rPr>
        <w:t>)</w:t>
      </w:r>
      <w:r w:rsidR="00745C05">
        <w:rPr>
          <w:rFonts w:ascii="Times New Roman" w:hAnsi="Times New Roman" w:cs="Times New Roman"/>
          <w:sz w:val="24"/>
          <w:szCs w:val="24"/>
        </w:rPr>
        <w:t xml:space="preserve">.   </w:t>
      </w:r>
    </w:p>
    <w:p w14:paraId="6D66BA8A" w14:textId="77777777" w:rsidR="003F6893" w:rsidRDefault="003F6893" w:rsidP="004C125F">
      <w:pPr>
        <w:spacing w:line="240" w:lineRule="auto"/>
        <w:ind w:firstLine="720"/>
        <w:jc w:val="both"/>
        <w:rPr>
          <w:rFonts w:ascii="Times New Roman" w:hAnsi="Times New Roman" w:cs="Times New Roman"/>
          <w:sz w:val="24"/>
          <w:szCs w:val="24"/>
        </w:rPr>
      </w:pPr>
    </w:p>
    <w:p w14:paraId="0EA8AE23" w14:textId="77777777" w:rsidR="004C125F" w:rsidRDefault="004C125F" w:rsidP="004C125F">
      <w:pPr>
        <w:spacing w:line="24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0F3CE4" w14:textId="6C6F8E08" w:rsidR="008F79E0" w:rsidRDefault="008F79E0" w:rsidP="004C125F">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89FBAEF" w14:textId="77777777" w:rsidR="008F79E0" w:rsidRPr="008F79E0" w:rsidRDefault="008F79E0" w:rsidP="004C125F">
      <w:pPr>
        <w:spacing w:line="240" w:lineRule="auto"/>
        <w:jc w:val="both"/>
        <w:rPr>
          <w:rFonts w:ascii="Times New Roman" w:hAnsi="Times New Roman" w:cs="Times New Roman"/>
          <w:sz w:val="24"/>
          <w:szCs w:val="24"/>
        </w:rPr>
      </w:pPr>
      <w:r w:rsidRPr="008F79E0">
        <w:rPr>
          <w:rFonts w:ascii="Times New Roman" w:hAnsi="Times New Roman" w:cs="Times New Roman"/>
          <w:sz w:val="24"/>
          <w:szCs w:val="24"/>
        </w:rPr>
        <w:t xml:space="preserve">Rugman, A., &amp; Verbeke, A. (2017). </w:t>
      </w:r>
      <w:r w:rsidRPr="004C125F">
        <w:rPr>
          <w:rFonts w:ascii="Times New Roman" w:hAnsi="Times New Roman" w:cs="Times New Roman"/>
          <w:iCs/>
          <w:sz w:val="24"/>
          <w:szCs w:val="24"/>
        </w:rPr>
        <w:t>Global corporate strategy and trade policy</w:t>
      </w:r>
      <w:r w:rsidRPr="008F79E0">
        <w:rPr>
          <w:rFonts w:ascii="Times New Roman" w:hAnsi="Times New Roman" w:cs="Times New Roman"/>
          <w:sz w:val="24"/>
          <w:szCs w:val="24"/>
        </w:rPr>
        <w:t>. Routledge.</w:t>
      </w:r>
    </w:p>
    <w:p w14:paraId="22D3674D" w14:textId="77777777" w:rsidR="00295057" w:rsidRDefault="00295057" w:rsidP="004C125F">
      <w:pPr>
        <w:spacing w:line="240" w:lineRule="auto"/>
        <w:jc w:val="both"/>
        <w:rPr>
          <w:rFonts w:ascii="Times New Roman" w:hAnsi="Times New Roman" w:cs="Times New Roman"/>
          <w:sz w:val="24"/>
          <w:szCs w:val="24"/>
        </w:rPr>
      </w:pPr>
      <w:r w:rsidRPr="00295057">
        <w:rPr>
          <w:rFonts w:ascii="Times New Roman" w:hAnsi="Times New Roman" w:cs="Times New Roman"/>
          <w:sz w:val="24"/>
          <w:szCs w:val="24"/>
        </w:rPr>
        <w:t xml:space="preserve">Motohashi, K. (2015). </w:t>
      </w:r>
      <w:r w:rsidRPr="004C125F">
        <w:rPr>
          <w:rFonts w:ascii="Times New Roman" w:hAnsi="Times New Roman" w:cs="Times New Roman"/>
          <w:iCs/>
          <w:sz w:val="24"/>
          <w:szCs w:val="24"/>
        </w:rPr>
        <w:t>Global business strategy: Multinational corporations venturing into emerging Markets</w:t>
      </w:r>
      <w:r w:rsidRPr="00295057">
        <w:rPr>
          <w:rFonts w:ascii="Times New Roman" w:hAnsi="Times New Roman" w:cs="Times New Roman"/>
          <w:sz w:val="24"/>
          <w:szCs w:val="24"/>
        </w:rPr>
        <w:t>. Springer Science+ Business Media.</w:t>
      </w:r>
    </w:p>
    <w:p w14:paraId="232EADD8" w14:textId="77777777" w:rsidR="00027DA4" w:rsidRPr="00027DA4" w:rsidRDefault="00027DA4" w:rsidP="004C125F">
      <w:pPr>
        <w:spacing w:line="240" w:lineRule="auto"/>
        <w:jc w:val="both"/>
        <w:rPr>
          <w:rFonts w:ascii="Times New Roman" w:hAnsi="Times New Roman" w:cs="Times New Roman"/>
          <w:sz w:val="24"/>
          <w:szCs w:val="24"/>
        </w:rPr>
      </w:pPr>
      <w:r w:rsidRPr="00027DA4">
        <w:rPr>
          <w:rFonts w:ascii="Times New Roman" w:hAnsi="Times New Roman" w:cs="Times New Roman"/>
          <w:sz w:val="24"/>
          <w:szCs w:val="24"/>
        </w:rPr>
        <w:t xml:space="preserve">Ghemawat, P. (2011). The cosmopolitan corporation. </w:t>
      </w:r>
      <w:r w:rsidRPr="00027DA4">
        <w:rPr>
          <w:rFonts w:ascii="Times New Roman" w:hAnsi="Times New Roman" w:cs="Times New Roman"/>
          <w:i/>
          <w:iCs/>
          <w:sz w:val="24"/>
          <w:szCs w:val="24"/>
        </w:rPr>
        <w:t>Harvard Business Review</w:t>
      </w:r>
      <w:r w:rsidRPr="00027DA4">
        <w:rPr>
          <w:rFonts w:ascii="Times New Roman" w:hAnsi="Times New Roman" w:cs="Times New Roman"/>
          <w:sz w:val="24"/>
          <w:szCs w:val="24"/>
        </w:rPr>
        <w:t xml:space="preserve">, </w:t>
      </w:r>
      <w:r w:rsidRPr="00027DA4">
        <w:rPr>
          <w:rFonts w:ascii="Times New Roman" w:hAnsi="Times New Roman" w:cs="Times New Roman"/>
          <w:i/>
          <w:iCs/>
          <w:sz w:val="24"/>
          <w:szCs w:val="24"/>
        </w:rPr>
        <w:t>89</w:t>
      </w:r>
      <w:r w:rsidRPr="00027DA4">
        <w:rPr>
          <w:rFonts w:ascii="Times New Roman" w:hAnsi="Times New Roman" w:cs="Times New Roman"/>
          <w:sz w:val="24"/>
          <w:szCs w:val="24"/>
        </w:rPr>
        <w:t>(5), 92-99.</w:t>
      </w:r>
    </w:p>
    <w:p w14:paraId="50D00C23" w14:textId="77777777" w:rsidR="00027DA4" w:rsidRPr="00295057" w:rsidRDefault="00027DA4" w:rsidP="004C125F">
      <w:pPr>
        <w:spacing w:line="240" w:lineRule="auto"/>
        <w:jc w:val="both"/>
        <w:rPr>
          <w:rFonts w:ascii="Times New Roman" w:hAnsi="Times New Roman" w:cs="Times New Roman"/>
          <w:sz w:val="24"/>
          <w:szCs w:val="24"/>
        </w:rPr>
      </w:pPr>
    </w:p>
    <w:p w14:paraId="586E7E4B" w14:textId="77777777" w:rsidR="008F79E0" w:rsidRPr="002D7C28" w:rsidRDefault="008F79E0" w:rsidP="004C125F">
      <w:pPr>
        <w:spacing w:line="240" w:lineRule="auto"/>
        <w:jc w:val="both"/>
        <w:rPr>
          <w:rFonts w:ascii="Times New Roman" w:hAnsi="Times New Roman" w:cs="Times New Roman"/>
          <w:sz w:val="24"/>
          <w:szCs w:val="24"/>
        </w:rPr>
      </w:pPr>
    </w:p>
    <w:sectPr w:rsidR="008F79E0" w:rsidRPr="002D7C28" w:rsidSect="008F79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5D5E" w14:textId="77777777" w:rsidR="005610AA" w:rsidRDefault="005610AA" w:rsidP="008F79E0">
      <w:pPr>
        <w:spacing w:after="0" w:line="240" w:lineRule="auto"/>
      </w:pPr>
      <w:r>
        <w:separator/>
      </w:r>
    </w:p>
  </w:endnote>
  <w:endnote w:type="continuationSeparator" w:id="0">
    <w:p w14:paraId="417013FD" w14:textId="77777777" w:rsidR="005610AA" w:rsidRDefault="005610AA" w:rsidP="008F7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00E68" w14:textId="77777777" w:rsidR="005610AA" w:rsidRDefault="005610AA" w:rsidP="008F79E0">
      <w:pPr>
        <w:spacing w:after="0" w:line="240" w:lineRule="auto"/>
      </w:pPr>
      <w:r>
        <w:separator/>
      </w:r>
    </w:p>
  </w:footnote>
  <w:footnote w:type="continuationSeparator" w:id="0">
    <w:p w14:paraId="3DF32A23" w14:textId="77777777" w:rsidR="005610AA" w:rsidRDefault="005610AA" w:rsidP="008F7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0268E" w14:textId="77777777" w:rsidR="008F79E0" w:rsidRDefault="008F79E0">
    <w:pPr>
      <w:pStyle w:val="Header"/>
      <w:jc w:val="right"/>
    </w:pPr>
    <w:r>
      <w:t xml:space="preserve">CRITICAL ANALYSIS                                                                                                                                                       </w:t>
    </w:r>
    <w:sdt>
      <w:sdtPr>
        <w:id w:val="19201285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5C05">
          <w:rPr>
            <w:noProof/>
          </w:rPr>
          <w:t>3</w:t>
        </w:r>
        <w:r>
          <w:rPr>
            <w:noProof/>
          </w:rPr>
          <w:fldChar w:fldCharType="end"/>
        </w:r>
      </w:sdtContent>
    </w:sdt>
  </w:p>
  <w:p w14:paraId="1783D940" w14:textId="77777777" w:rsidR="008F79E0" w:rsidRDefault="008F7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92D1" w14:textId="77777777" w:rsidR="008F79E0" w:rsidRDefault="008F79E0">
    <w:pPr>
      <w:pStyle w:val="Header"/>
    </w:pPr>
    <w:r>
      <w:t>Running Head: CRITICAL ANALYSIS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FA7"/>
    <w:rsid w:val="00027DA4"/>
    <w:rsid w:val="00043E55"/>
    <w:rsid w:val="002311C2"/>
    <w:rsid w:val="00247C26"/>
    <w:rsid w:val="00295057"/>
    <w:rsid w:val="002B1809"/>
    <w:rsid w:val="002D7C28"/>
    <w:rsid w:val="003C1B71"/>
    <w:rsid w:val="003F6893"/>
    <w:rsid w:val="004C125F"/>
    <w:rsid w:val="005610AA"/>
    <w:rsid w:val="005C09E7"/>
    <w:rsid w:val="00745C05"/>
    <w:rsid w:val="007B76B4"/>
    <w:rsid w:val="007F0A8A"/>
    <w:rsid w:val="008B3B1B"/>
    <w:rsid w:val="008D7D72"/>
    <w:rsid w:val="008F79E0"/>
    <w:rsid w:val="00952859"/>
    <w:rsid w:val="00966E88"/>
    <w:rsid w:val="00986DCA"/>
    <w:rsid w:val="00A33832"/>
    <w:rsid w:val="00A630B6"/>
    <w:rsid w:val="00BD1F1F"/>
    <w:rsid w:val="00C60FA7"/>
    <w:rsid w:val="00D852E3"/>
    <w:rsid w:val="00E064F2"/>
    <w:rsid w:val="00E31177"/>
    <w:rsid w:val="00ED4417"/>
    <w:rsid w:val="00F2616A"/>
    <w:rsid w:val="00F9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0D7AD"/>
  <w15:chartTrackingRefBased/>
  <w15:docId w15:val="{56143059-6889-4EA4-A850-6E51F060B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9E0"/>
  </w:style>
  <w:style w:type="paragraph" w:styleId="Footer">
    <w:name w:val="footer"/>
    <w:basedOn w:val="Normal"/>
    <w:link w:val="FooterChar"/>
    <w:uiPriority w:val="99"/>
    <w:unhideWhenUsed/>
    <w:rsid w:val="008F7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696185">
      <w:bodyDiv w:val="1"/>
      <w:marLeft w:val="0"/>
      <w:marRight w:val="0"/>
      <w:marTop w:val="0"/>
      <w:marBottom w:val="0"/>
      <w:divBdr>
        <w:top w:val="none" w:sz="0" w:space="0" w:color="auto"/>
        <w:left w:val="none" w:sz="0" w:space="0" w:color="auto"/>
        <w:bottom w:val="none" w:sz="0" w:space="0" w:color="auto"/>
        <w:right w:val="none" w:sz="0" w:space="0" w:color="auto"/>
      </w:divBdr>
    </w:div>
    <w:div w:id="307590410">
      <w:bodyDiv w:val="1"/>
      <w:marLeft w:val="0"/>
      <w:marRight w:val="0"/>
      <w:marTop w:val="0"/>
      <w:marBottom w:val="0"/>
      <w:divBdr>
        <w:top w:val="none" w:sz="0" w:space="0" w:color="auto"/>
        <w:left w:val="none" w:sz="0" w:space="0" w:color="auto"/>
        <w:bottom w:val="none" w:sz="0" w:space="0" w:color="auto"/>
        <w:right w:val="none" w:sz="0" w:space="0" w:color="auto"/>
      </w:divBdr>
      <w:divsChild>
        <w:div w:id="695078603">
          <w:marLeft w:val="0"/>
          <w:marRight w:val="0"/>
          <w:marTop w:val="0"/>
          <w:marBottom w:val="0"/>
          <w:divBdr>
            <w:top w:val="none" w:sz="0" w:space="0" w:color="auto"/>
            <w:left w:val="none" w:sz="0" w:space="0" w:color="auto"/>
            <w:bottom w:val="none" w:sz="0" w:space="0" w:color="auto"/>
            <w:right w:val="none" w:sz="0" w:space="0" w:color="auto"/>
          </w:divBdr>
        </w:div>
      </w:divsChild>
    </w:div>
    <w:div w:id="1154027894">
      <w:bodyDiv w:val="1"/>
      <w:marLeft w:val="0"/>
      <w:marRight w:val="0"/>
      <w:marTop w:val="0"/>
      <w:marBottom w:val="0"/>
      <w:divBdr>
        <w:top w:val="none" w:sz="0" w:space="0" w:color="auto"/>
        <w:left w:val="none" w:sz="0" w:space="0" w:color="auto"/>
        <w:bottom w:val="none" w:sz="0" w:space="0" w:color="auto"/>
        <w:right w:val="none" w:sz="0" w:space="0" w:color="auto"/>
      </w:divBdr>
      <w:divsChild>
        <w:div w:id="711612474">
          <w:marLeft w:val="0"/>
          <w:marRight w:val="0"/>
          <w:marTop w:val="0"/>
          <w:marBottom w:val="0"/>
          <w:divBdr>
            <w:top w:val="none" w:sz="0" w:space="0" w:color="auto"/>
            <w:left w:val="none" w:sz="0" w:space="0" w:color="auto"/>
            <w:bottom w:val="none" w:sz="0" w:space="0" w:color="auto"/>
            <w:right w:val="none" w:sz="0" w:space="0" w:color="auto"/>
          </w:divBdr>
        </w:div>
      </w:divsChild>
    </w:div>
    <w:div w:id="1608349901">
      <w:bodyDiv w:val="1"/>
      <w:marLeft w:val="0"/>
      <w:marRight w:val="0"/>
      <w:marTop w:val="0"/>
      <w:marBottom w:val="0"/>
      <w:divBdr>
        <w:top w:val="none" w:sz="0" w:space="0" w:color="auto"/>
        <w:left w:val="none" w:sz="0" w:space="0" w:color="auto"/>
        <w:bottom w:val="none" w:sz="0" w:space="0" w:color="auto"/>
        <w:right w:val="none" w:sz="0" w:space="0" w:color="auto"/>
      </w:divBdr>
      <w:divsChild>
        <w:div w:id="2052147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21</cp:revision>
  <dcterms:created xsi:type="dcterms:W3CDTF">2018-07-19T22:23:00Z</dcterms:created>
  <dcterms:modified xsi:type="dcterms:W3CDTF">2018-07-20T00:13:00Z</dcterms:modified>
</cp:coreProperties>
</file>